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73.0" w:type="dxa"/>
        <w:jc w:val="left"/>
        <w:tblInd w:w="-856.0" w:type="dxa"/>
        <w:tblLayout w:type="fixed"/>
        <w:tblLook w:val="0000"/>
      </w:tblPr>
      <w:tblGrid>
        <w:gridCol w:w="4158"/>
        <w:gridCol w:w="1665"/>
        <w:gridCol w:w="5250"/>
        <w:tblGridChange w:id="0">
          <w:tblGrid>
            <w:gridCol w:w="4158"/>
            <w:gridCol w:w="1665"/>
            <w:gridCol w:w="5250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1900238</wp:posOffset>
                      </wp:positionH>
                      <wp:positionV relativeFrom="paragraph">
                        <wp:posOffset>84138</wp:posOffset>
                      </wp:positionV>
                      <wp:extent cx="266065" cy="257175"/>
                      <wp:effectExtent b="0" l="0" r="0" t="0"/>
                      <wp:wrapNone/>
                      <wp:docPr id="1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1900238</wp:posOffset>
                      </wp:positionH>
                      <wp:positionV relativeFrom="paragraph">
                        <wp:posOffset>84138</wp:posOffset>
                      </wp:positionV>
                      <wp:extent cx="266065" cy="257175"/>
                      <wp:effectExtent b="0" l="0" r="0" t="0"/>
                      <wp:wrapNone/>
                      <wp:docPr id="17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6065" cy="2571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5214938</wp:posOffset>
                      </wp:positionH>
                      <wp:positionV relativeFrom="paragraph">
                        <wp:posOffset>84138</wp:posOffset>
                      </wp:positionV>
                      <wp:extent cx="266065" cy="257175"/>
                      <wp:effectExtent b="0" l="0" r="0" t="0"/>
                      <wp:wrapNone/>
                      <wp:docPr id="1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5214938</wp:posOffset>
                      </wp:positionH>
                      <wp:positionV relativeFrom="paragraph">
                        <wp:posOffset>84138</wp:posOffset>
                      </wp:positionV>
                      <wp:extent cx="266065" cy="257175"/>
                      <wp:effectExtent b="0" l="0" r="0" t="0"/>
                      <wp:wrapNone/>
                      <wp:docPr id="1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6065" cy="2571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Número:  02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4162.010.26.1.5080- 2025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FANNY OSPINA GUTIÉRREZ </w:t>
            </w:r>
          </w:p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C.C.  66.982.392</w:t>
            </w:r>
          </w:p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KRYSTHIAN DAVID RAMIREZ MUNEVAR</w:t>
            </w:r>
          </w:p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 DEPORTE Y  LA RECREACIÓN</w:t>
            </w:r>
          </w:p>
        </w:tc>
      </w:tr>
      <w:tr>
        <w:trPr>
          <w:cantSplit w:val="0"/>
          <w:trHeight w:val="14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en la Secretaría del Deporte y la Recreación del  proyecto denominado Conservación de la infraestructura deportiva y recreativa del distrito especial de Santiago de Cali BP – 26005399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22-11-2025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                   31-12-2025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Modificación(es) al contrato: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contrato: 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Es hasta por la suma de: SEIS MILLONES OCHOCIENTOS VEINTIOCHO  MIL PESOS M/CTE</w:t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($ 6.828.000)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64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0635.0" w:type="dxa"/>
              <w:jc w:val="left"/>
              <w:tblLayout w:type="fixed"/>
              <w:tblLook w:val="0000"/>
            </w:tblPr>
            <w:tblGrid>
              <w:gridCol w:w="8685"/>
              <w:gridCol w:w="945"/>
              <w:gridCol w:w="1005"/>
              <w:tblGridChange w:id="0">
                <w:tblGrid>
                  <w:gridCol w:w="8685"/>
                  <w:gridCol w:w="945"/>
                  <w:gridCol w:w="1005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9">
                  <w:pPr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    X</w:t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0620.0" w:type="dxa"/>
              <w:jc w:val="left"/>
              <w:tblLayout w:type="fixed"/>
              <w:tblLook w:val="0000"/>
            </w:tblPr>
            <w:tblGrid>
              <w:gridCol w:w="2940"/>
              <w:gridCol w:w="2295"/>
              <w:gridCol w:w="2850"/>
              <w:gridCol w:w="2535"/>
              <w:tblGridChange w:id="0">
                <w:tblGrid>
                  <w:gridCol w:w="2940"/>
                  <w:gridCol w:w="2295"/>
                  <w:gridCol w:w="2850"/>
                  <w:gridCol w:w="2535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0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$ 6.828.000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</w:tr>
          </w:tbl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1077605720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8823665804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simple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 : 01/12/2025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Diciembre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6"/>
                <w:szCs w:val="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35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el desarrollo del contrato de prestación de servicios No 4162.010.26.1.5080.-2025. se pudo verificar que el contratista realizó las siguientes actividades en cumplimiento de sus obligaciones y objeto contractual:</w:t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35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1.Brindar apoyo en las actividades financieras mediante la verificación de las cuentas de cobro de prestadores de servicios, para llevar a cabo el Diagnóstico y categorización técnica de escenarios</w:t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deportivos, así como los del Organismo en general</w:t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tabs>
                <w:tab w:val="left" w:leader="none" w:pos="402"/>
              </w:tabs>
              <w:spacing w:before="71" w:lineRule="auto"/>
              <w:ind w:right="24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brindó apoyo en el trámite de las cuentas de cobro de las diferentes áreas de la Secretaría del Deporte y la Recreación, realizando actividades de validación, ingreso al sistema SAP, radicación y envío a la Contaduría General para su correspondiente proceso de causación</w:t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Brindar apoyo con las tareas para mejorar la eficiencia del gasto público mediante la organización y gestión documental, aplicando los lineamientos para la elaboración y control de los documentos y registros de los mismos</w:t>
            </w:r>
          </w:p>
          <w:p w:rsidR="00000000" w:rsidDel="00000000" w:rsidP="00000000" w:rsidRDefault="00000000" w:rsidRPr="00000000" w14:paraId="0000008F">
            <w:pPr>
              <w:tabs>
                <w:tab w:val="left" w:leader="none" w:pos="402"/>
              </w:tabs>
              <w:spacing w:before="71" w:lineRule="auto"/>
              <w:ind w:right="24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02"/>
              </w:tabs>
              <w:spacing w:after="0" w:before="71" w:line="240" w:lineRule="auto"/>
              <w:ind w:left="780" w:right="246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elaboró comunicados dirigidos a la Subdirección de Tesorería, en los cuales se solicitó oficialmente la aprobación y autorización de (PACs). Con el fin de atender los requerimientos en desarrollo de proyectos estratégicos a cargo de la Secretaría del Deporte y la Recreación.</w:t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Brindar apoyo con el cargue de documentos a plataformas asociadas a los proceso financiero y contable.</w:t>
            </w:r>
          </w:p>
          <w:p w:rsidR="00000000" w:rsidDel="00000000" w:rsidP="00000000" w:rsidRDefault="00000000" w:rsidRPr="00000000" w14:paraId="00000097">
            <w:pPr>
              <w:tabs>
                <w:tab w:val="left" w:leader="none" w:pos="402"/>
              </w:tabs>
              <w:spacing w:before="71" w:lineRule="auto"/>
              <w:ind w:right="24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8">
            <w:pPr>
              <w:tabs>
                <w:tab w:val="left" w:leader="none" w:pos="402"/>
              </w:tabs>
              <w:spacing w:before="71" w:lineRule="auto"/>
              <w:ind w:right="24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02"/>
              </w:tabs>
              <w:spacing w:after="0" w:before="71" w:line="240" w:lineRule="auto"/>
              <w:ind w:left="780" w:right="246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brindó apoyo en la elaboración de SOLPED y  OFERTA necesarios  para continuar con el proceso de RPC.</w:t>
            </w:r>
          </w:p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tabs>
                <w:tab w:val="left" w:leader="none" w:pos="402"/>
              </w:tabs>
              <w:spacing w:before="71" w:lineRule="auto"/>
              <w:ind w:right="246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7kqc308xoxw0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02"/>
              </w:tabs>
              <w:ind w:right="79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Las demás actividades que le sean asignadas de acuerdo con el desarrollo del objeto contractual.</w:t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02"/>
              </w:tabs>
              <w:ind w:right="79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02"/>
              </w:tabs>
              <w:spacing w:after="0" w:before="0" w:line="240" w:lineRule="auto"/>
              <w:ind w:left="780" w:right="79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l341fglbpe0v" w:id="1"/>
            <w:bookmarkEnd w:id="1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se encargó del control de archivos, gestionando las respuestas internas y externas a través del sistema Orfeo. Asimismo, consolidó toda la información en la matriz de control de comunicados correspondiente, con el fin de facilitar el acceso a los oficios cuando fuera requerido.</w:t>
            </w:r>
          </w:p>
          <w:p w:rsidR="00000000" w:rsidDel="00000000" w:rsidP="00000000" w:rsidRDefault="00000000" w:rsidRPr="00000000" w14:paraId="0000009F">
            <w:pPr>
              <w:widowControl w:val="0"/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verificación, las evidencias de lo relacionado se encuentran en el siguiente link:</w:t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https://drive.google.com/drive/folders/1lwXLbYgb6y8dADzd9-hUpTtnM-NB5mKZ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4"/>
                <w:szCs w:val="24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4162.010.26.1.5080-2025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222222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4"/>
                <w:szCs w:val="24"/>
                <w:highlight w:val="white"/>
                <w:rtl w:val="0"/>
              </w:rPr>
              <w:t xml:space="preserve">Constancia de Paz y Salvo: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7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: Se entrega un informe de gestión de este contrato y del Backup.</w:t>
            </w:r>
          </w:p>
          <w:p w:rsidR="00000000" w:rsidDel="00000000" w:rsidP="00000000" w:rsidRDefault="00000000" w:rsidRPr="00000000" w14:paraId="000000AE">
            <w:pP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4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RECOMENDACIONES PARA EL CONTRATISTA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 SE REPORTAN RECOMENDACIONES PARA ESTE PERIODO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4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FIRMAS RESPONSABLES</w:t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5nia2v5mysh3" w:id="2"/>
            <w:bookmarkEnd w:id="2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  <w:rtl w:val="0"/>
              </w:rPr>
              <w:t xml:space="preserve">________________________________________</w:t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KRYSTHIAN DAVID RAMIREZ MUNEVAR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Supervisor </w:t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Distrito de Santiago de Cali 19 de Diciembre de 2025</w:t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3"/>
      <w:bookmarkEnd w:id="3"/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8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483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3"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⮚"/>
      <w:lvlJc w:val="left"/>
      <w:pPr>
        <w:ind w:left="7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A813CD"/>
    <w:pPr>
      <w:widowControl w:val="0"/>
      <w:autoSpaceDE w:val="0"/>
    </w:pPr>
    <w:rPr>
      <w:rFonts w:ascii="Arial MT" w:cs="Arial MT" w:eastAsia="Arial MT" w:hAnsi="Arial MT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9C711F"/>
    <w:pPr>
      <w:spacing w:after="100" w:afterAutospacing="1" w:before="100" w:beforeAutospacing="1"/>
    </w:pPr>
    <w:rPr>
      <w:sz w:val="24"/>
      <w:szCs w:val="24"/>
      <w:lang w:val="es-CO"/>
    </w:rPr>
  </w:style>
  <w:style w:type="table" w:styleId="a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4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6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lwXLbYgb6y8dADzd9-hUpTtnM-NB5mKZ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4VFHmQVhoGKildz1kQnvk0n6iA==">CgMxLjAyDmguN2txYzMwOHhveHcwMg5oLmwzNDFmZ2xicGUwdjIOaC41bmlhMnY1bXlzaDMyCGguZ2pkZ3hzOAByITEwQ0x2bFI3U0x4bmFzYXVOYkhRWU1XMWJnS05KVjRfeg==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2024-03-12T19:19:00Z</dcterms:created>
  <dc:creator>LEYDHER</dc:creator>
</cp:coreProperties>
</file>